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5CA6DCC" w14:textId="20A3CC29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223CF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739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1E2FDE9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C337C1A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E2CF4F2" w14:textId="77777777" w:rsidR="00C81099" w:rsidRPr="00CA3044" w:rsidRDefault="00C81099" w:rsidP="00C81099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7DBDD049" w14:textId="77777777" w:rsidR="00C81099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75EC81B1" w14:textId="77777777" w:rsidR="00C81099" w:rsidRPr="00CA3044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D386933" w14:textId="0E57D98B" w:rsidR="00C81099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C3C45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os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 w:rsidR="002223CF">
        <w:rPr>
          <w:rFonts w:ascii="Times New Roman" w:hAnsi="Times New Roman"/>
          <w:sz w:val="24"/>
          <w:szCs w:val="24"/>
        </w:rPr>
        <w:t>Fazenda e Planejamento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482893C8" w14:textId="77777777" w:rsidR="00C81099" w:rsidRPr="00CA3044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7BA39B8" w14:textId="77777777" w:rsidR="00C81099" w:rsidRDefault="00C81099" w:rsidP="00C81099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E452E6C" w14:textId="77777777" w:rsidR="00C81099" w:rsidRPr="00CA3044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F12B242" w14:textId="77777777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FILIPE DA CRUZ GARCIA NUNES</w:t>
      </w:r>
    </w:p>
    <w:p w14:paraId="6B4D83B0" w14:textId="77777777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7C1DE7E" w14:textId="77777777" w:rsidR="00C81099" w:rsidRPr="005C3C45" w:rsidRDefault="00C81099" w:rsidP="00C81099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 w:rsidRPr="005C3C45">
        <w:rPr>
          <w:rFonts w:ascii="Times New Roman" w:eastAsia="Times New Roman" w:hAnsi="Times New Roman"/>
          <w:b/>
          <w:sz w:val="24"/>
        </w:rPr>
        <w:t>Gestor do Contrato;</w:t>
      </w:r>
    </w:p>
    <w:p w14:paraId="03813C74" w14:textId="77777777" w:rsidR="00C81099" w:rsidRPr="00CE127A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0FF8D5DB" w14:textId="77777777" w:rsidR="00C81099" w:rsidRPr="00EC4E03" w:rsidRDefault="00C81099" w:rsidP="00C81099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VALESKA SOARES GLÓRIA</w:t>
      </w:r>
    </w:p>
    <w:p w14:paraId="5830F060" w14:textId="77777777" w:rsidR="00C81099" w:rsidRPr="00EC4E03" w:rsidRDefault="00C81099" w:rsidP="00C81099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8826718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101/2025.</w:t>
      </w:r>
    </w:p>
    <w:p w14:paraId="6DB9E3D9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0F66FDC3" w14:textId="390991BB" w:rsidR="00C81099" w:rsidRDefault="00C81099" w:rsidP="00C81099">
      <w:pPr>
        <w:jc w:val="both"/>
        <w:rPr>
          <w:rFonts w:ascii="Times New Roman" w:hAnsi="Times New Roman"/>
          <w:b/>
          <w:sz w:val="28"/>
          <w:szCs w:val="28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A presente Portaria entra em vigor na data de sua publicação, retroagindo seus efeitos a partir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04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Junho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2025.</w:t>
      </w:r>
      <w:bookmarkStart w:id="0" w:name="_GoBack"/>
      <w:bookmarkEnd w:id="0"/>
    </w:p>
    <w:p w14:paraId="7D21D41D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5D3582B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67EA385E" w14:textId="77777777" w:rsidR="00C81099" w:rsidRPr="004C7D55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F816AAE" w14:textId="77777777" w:rsidR="00C81099" w:rsidRPr="004C7D55" w:rsidRDefault="00C81099" w:rsidP="00C810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2E66AB4" w14:textId="1E579BB9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2223CF">
        <w:rPr>
          <w:rFonts w:ascii="Times New Roman" w:hAnsi="Times New Roman"/>
          <w:bCs/>
          <w:i/>
          <w:iCs/>
          <w:sz w:val="28"/>
          <w:szCs w:val="28"/>
        </w:rPr>
        <w:t>01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</w:t>
      </w:r>
      <w:r w:rsidR="002223CF">
        <w:rPr>
          <w:rFonts w:ascii="Times New Roman" w:hAnsi="Times New Roman"/>
          <w:bCs/>
          <w:i/>
          <w:iCs/>
          <w:sz w:val="28"/>
          <w:szCs w:val="28"/>
        </w:rPr>
        <w:t>Julho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C985EE6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C7D596D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0FDC6319" w14:textId="77777777" w:rsidR="00C81099" w:rsidRPr="004C7D55" w:rsidRDefault="00C81099" w:rsidP="00C810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14D267EA" w:rsidR="002D1BDD" w:rsidRPr="00241AB0" w:rsidRDefault="00C81099" w:rsidP="00C81099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728B4"/>
    <w:rsid w:val="000C400E"/>
    <w:rsid w:val="001012C9"/>
    <w:rsid w:val="00113AAA"/>
    <w:rsid w:val="00131AC9"/>
    <w:rsid w:val="0017723B"/>
    <w:rsid w:val="001A2B12"/>
    <w:rsid w:val="001B1C63"/>
    <w:rsid w:val="001C6896"/>
    <w:rsid w:val="002223CF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81099"/>
    <w:rsid w:val="00CB1688"/>
    <w:rsid w:val="00CB6C24"/>
    <w:rsid w:val="00CC092E"/>
    <w:rsid w:val="00CC2E7C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232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2025-07-02T14:10:00Z</cp:lastPrinted>
  <dcterms:created xsi:type="dcterms:W3CDTF">2025-07-07T12:21:00Z</dcterms:created>
  <dcterms:modified xsi:type="dcterms:W3CDTF">2025-07-16T14:33:00Z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